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C305" w14:textId="0B7B3C78"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Riigihangete vaidlustuskomisjon</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004B625A">
        <w:rPr>
          <w:rFonts w:ascii="Palatino Linotype" w:hAnsi="Palatino Linotype"/>
          <w:b/>
          <w:bCs/>
          <w:sz w:val="22"/>
          <w:szCs w:val="22"/>
          <w:lang w:val="et-EE"/>
        </w:rPr>
        <w:t>03</w:t>
      </w:r>
      <w:r w:rsidRPr="00A94BE1">
        <w:rPr>
          <w:rFonts w:ascii="Palatino Linotype" w:hAnsi="Palatino Linotype"/>
          <w:b/>
          <w:bCs/>
          <w:sz w:val="22"/>
          <w:szCs w:val="22"/>
          <w:lang w:val="et-EE"/>
        </w:rPr>
        <w:t>.0</w:t>
      </w:r>
      <w:r w:rsidR="004B625A">
        <w:rPr>
          <w:rFonts w:ascii="Palatino Linotype" w:hAnsi="Palatino Linotype"/>
          <w:b/>
          <w:bCs/>
          <w:sz w:val="22"/>
          <w:szCs w:val="22"/>
          <w:lang w:val="et-EE"/>
        </w:rPr>
        <w:t>3</w:t>
      </w:r>
      <w:r w:rsidRPr="00A94BE1">
        <w:rPr>
          <w:rFonts w:ascii="Palatino Linotype" w:hAnsi="Palatino Linotype"/>
          <w:b/>
          <w:bCs/>
          <w:sz w:val="22"/>
          <w:szCs w:val="22"/>
          <w:lang w:val="et-EE"/>
        </w:rPr>
        <w:t>.2025</w:t>
      </w:r>
    </w:p>
    <w:p w14:paraId="0B166DD0"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Tartu mnt 85</w:t>
      </w:r>
    </w:p>
    <w:p w14:paraId="767F739D"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10115 Tallinn</w:t>
      </w:r>
    </w:p>
    <w:p w14:paraId="128350F0" w14:textId="77777777" w:rsidR="00A94BE1" w:rsidRPr="00A94BE1" w:rsidRDefault="00A94BE1" w:rsidP="00A94BE1">
      <w:pPr>
        <w:jc w:val="both"/>
        <w:rPr>
          <w:rFonts w:ascii="Palatino Linotype" w:hAnsi="Palatino Linotype"/>
          <w:sz w:val="22"/>
          <w:szCs w:val="22"/>
          <w:lang w:val="et-EE"/>
        </w:rPr>
      </w:pPr>
    </w:p>
    <w:p w14:paraId="52C4C740" w14:textId="77777777" w:rsidR="00A94BE1" w:rsidRPr="00A94BE1" w:rsidRDefault="00821881" w:rsidP="00A94BE1">
      <w:pPr>
        <w:jc w:val="both"/>
        <w:rPr>
          <w:rFonts w:ascii="Palatino Linotype" w:hAnsi="Palatino Linotype"/>
          <w:sz w:val="22"/>
          <w:szCs w:val="22"/>
          <w:lang w:val="et-EE"/>
        </w:rPr>
      </w:pPr>
      <w:r>
        <w:rPr>
          <w:rFonts w:ascii="Palatino Linotype" w:hAnsi="Palatino Linotype"/>
          <w:sz w:val="22"/>
          <w:szCs w:val="22"/>
          <w:lang w:val="et-EE"/>
        </w:rPr>
        <w:t xml:space="preserve">Edastatud e-posti teel: </w:t>
      </w:r>
      <w:r>
        <w:rPr>
          <w:rFonts w:ascii="Palatino Linotype" w:hAnsi="Palatino Linotype"/>
          <w:sz w:val="22"/>
          <w:szCs w:val="22"/>
          <w:lang w:val="et-EE"/>
        </w:rPr>
        <w:tab/>
      </w:r>
      <w:r w:rsidR="00A94BE1" w:rsidRPr="00A94BE1">
        <w:rPr>
          <w:rFonts w:ascii="Palatino Linotype" w:hAnsi="Palatino Linotype"/>
          <w:sz w:val="22"/>
          <w:szCs w:val="22"/>
          <w:lang w:val="et-EE"/>
        </w:rPr>
        <w:t xml:space="preserve">vako@fin.ee </w:t>
      </w:r>
    </w:p>
    <w:p w14:paraId="621CC7B3" w14:textId="77777777" w:rsidR="00A94BE1" w:rsidRPr="00A94BE1" w:rsidRDefault="00A94BE1" w:rsidP="00A94BE1">
      <w:pPr>
        <w:jc w:val="both"/>
        <w:rPr>
          <w:rFonts w:ascii="Palatino Linotype" w:hAnsi="Palatino Linotype"/>
          <w:sz w:val="22"/>
          <w:szCs w:val="22"/>
          <w:lang w:val="et-EE"/>
        </w:rPr>
      </w:pPr>
    </w:p>
    <w:p w14:paraId="05261BFC"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Vaidlustaja:</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t>OSAÜHING VAN DER KNOX (registrikood 10789499)</w:t>
      </w:r>
    </w:p>
    <w:p w14:paraId="220C52FD"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sz w:val="22"/>
          <w:szCs w:val="22"/>
          <w:lang w:val="et-EE"/>
        </w:rPr>
        <w:t>Artelli 10b</w:t>
      </w:r>
    </w:p>
    <w:p w14:paraId="4DD86F7A"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t>10617 Tallinn</w:t>
      </w:r>
    </w:p>
    <w:p w14:paraId="033984AC" w14:textId="77777777" w:rsidR="00A94BE1" w:rsidRPr="00A94BE1" w:rsidRDefault="00A94BE1" w:rsidP="00A94BE1">
      <w:pPr>
        <w:jc w:val="both"/>
        <w:rPr>
          <w:rFonts w:ascii="Palatino Linotype" w:hAnsi="Palatino Linotype"/>
          <w:sz w:val="22"/>
          <w:szCs w:val="22"/>
          <w:lang w:val="et-EE"/>
        </w:rPr>
      </w:pPr>
    </w:p>
    <w:p w14:paraId="50A37CCC"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Vaidlustaja esindaja:</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t>juhatuse liige Lauri Valk</w:t>
      </w:r>
    </w:p>
    <w:p w14:paraId="2AF76E70"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sz w:val="22"/>
          <w:szCs w:val="22"/>
          <w:lang w:val="et-EE"/>
        </w:rPr>
        <w:t>T: 5119 434</w:t>
      </w:r>
    </w:p>
    <w:p w14:paraId="71547E60"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t>E: lauri@autokeemia.ee</w:t>
      </w:r>
    </w:p>
    <w:p w14:paraId="518111D9" w14:textId="77777777" w:rsidR="00A94BE1" w:rsidRPr="00A94BE1" w:rsidRDefault="00A94BE1" w:rsidP="00A94BE1">
      <w:pPr>
        <w:jc w:val="both"/>
        <w:rPr>
          <w:rFonts w:ascii="Palatino Linotype" w:hAnsi="Palatino Linotype"/>
          <w:sz w:val="22"/>
          <w:szCs w:val="22"/>
          <w:lang w:val="et-EE"/>
        </w:rPr>
      </w:pPr>
    </w:p>
    <w:p w14:paraId="5F969E1A"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Vastustaja:</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t>Riigi Tugiteenuste Keskus</w:t>
      </w:r>
    </w:p>
    <w:p w14:paraId="303C3758"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sz w:val="22"/>
          <w:szCs w:val="22"/>
          <w:lang w:val="et-EE"/>
        </w:rPr>
        <w:t>Lõkke 4</w:t>
      </w:r>
    </w:p>
    <w:p w14:paraId="1123F407"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t>10122 Tallinn</w:t>
      </w:r>
    </w:p>
    <w:p w14:paraId="2B5567D7" w14:textId="77777777" w:rsidR="00A94BE1" w:rsidRPr="00A94BE1" w:rsidRDefault="00A94BE1" w:rsidP="00A94BE1">
      <w:pPr>
        <w:jc w:val="both"/>
        <w:rPr>
          <w:rFonts w:ascii="Palatino Linotype" w:hAnsi="Palatino Linotype"/>
          <w:sz w:val="22"/>
          <w:szCs w:val="22"/>
          <w:lang w:val="et-EE"/>
        </w:rPr>
      </w:pPr>
    </w:p>
    <w:p w14:paraId="067D7EE5"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OSAÜHING VAN DER KNOX vaidlustus riigihanke 287219 alusdokumentide õigusvastasuse tuvastamiseks ning õigusakti nõuetega kooskõlla viimiseks</w:t>
      </w:r>
    </w:p>
    <w:p w14:paraId="1779DE3A" w14:textId="77777777" w:rsidR="00A94BE1" w:rsidRPr="00A94BE1" w:rsidRDefault="00A94BE1" w:rsidP="00A94BE1">
      <w:pPr>
        <w:jc w:val="both"/>
        <w:rPr>
          <w:rFonts w:ascii="Palatino Linotype" w:hAnsi="Palatino Linotype"/>
          <w:b/>
          <w:bCs/>
          <w:sz w:val="22"/>
          <w:szCs w:val="22"/>
          <w:lang w:val="et-EE"/>
        </w:rPr>
      </w:pPr>
    </w:p>
    <w:p w14:paraId="394F120A"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Taotlused</w:t>
      </w:r>
    </w:p>
    <w:p w14:paraId="2973E19A" w14:textId="77777777" w:rsidR="00A94BE1" w:rsidRPr="00A94BE1" w:rsidRDefault="00A94BE1" w:rsidP="00A94BE1">
      <w:pPr>
        <w:pStyle w:val="ListParagraph"/>
        <w:ind w:left="360"/>
        <w:jc w:val="both"/>
        <w:rPr>
          <w:rFonts w:ascii="Palatino Linotype" w:hAnsi="Palatino Linotype"/>
          <w:b/>
          <w:bCs/>
          <w:lang w:val="et-EE"/>
        </w:rPr>
      </w:pPr>
    </w:p>
    <w:p w14:paraId="5DA28DDC"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b/>
          <w:bCs/>
          <w:lang w:val="et-EE"/>
        </w:rPr>
        <w:t>Tuvastada Riigi Tugiteenuste Keskuse riigihanke 287219 alusdokumendi, s.o tehnilise kirjelduse õigusvastasus</w:t>
      </w:r>
      <w:r w:rsidR="002F7013">
        <w:rPr>
          <w:rFonts w:ascii="Palatino Linotype" w:hAnsi="Palatino Linotype"/>
          <w:b/>
          <w:bCs/>
          <w:lang w:val="et-EE"/>
        </w:rPr>
        <w:t xml:space="preserve"> osas, mis puudutab</w:t>
      </w:r>
      <w:r w:rsidR="00D633B0">
        <w:rPr>
          <w:rFonts w:ascii="Palatino Linotype" w:hAnsi="Palatino Linotype"/>
          <w:b/>
          <w:bCs/>
          <w:lang w:val="et-EE"/>
        </w:rPr>
        <w:t xml:space="preserve"> riigihanke objekti, ehk</w:t>
      </w:r>
      <w:r w:rsidR="002F7013">
        <w:rPr>
          <w:rFonts w:ascii="Palatino Linotype" w:hAnsi="Palatino Linotype"/>
          <w:b/>
          <w:bCs/>
          <w:lang w:val="et-EE"/>
        </w:rPr>
        <w:t xml:space="preserve"> sõiduautode varuosade ja pesuvedelike koos hankimist</w:t>
      </w:r>
      <w:r w:rsidRPr="00A94BE1">
        <w:rPr>
          <w:rFonts w:ascii="Palatino Linotype" w:hAnsi="Palatino Linotype"/>
          <w:b/>
          <w:bCs/>
          <w:lang w:val="et-EE"/>
        </w:rPr>
        <w:t xml:space="preserve"> ning kohustada hankijat tehnilise kirjelduse kooskõlla viima kehtivate õigusaktidega;</w:t>
      </w:r>
    </w:p>
    <w:p w14:paraId="4029249D"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b/>
          <w:bCs/>
          <w:lang w:val="et-EE"/>
        </w:rPr>
        <w:t>Peatada riigihanke 287219 menetlus;</w:t>
      </w:r>
    </w:p>
    <w:p w14:paraId="056E5FE6"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b/>
          <w:bCs/>
          <w:lang w:val="et-EE"/>
        </w:rPr>
        <w:t>Jätta käesoleva vaidlustusega seotud menetluskulud vastustaja kanda.</w:t>
      </w:r>
    </w:p>
    <w:p w14:paraId="7661AB41" w14:textId="77777777" w:rsidR="00A94BE1" w:rsidRPr="00A94BE1" w:rsidRDefault="00A94BE1" w:rsidP="00A94BE1">
      <w:pPr>
        <w:pStyle w:val="ListParagraph"/>
        <w:ind w:left="426"/>
        <w:jc w:val="both"/>
        <w:rPr>
          <w:rFonts w:ascii="Palatino Linotype" w:hAnsi="Palatino Linotype"/>
          <w:b/>
          <w:bCs/>
          <w:lang w:val="et-EE"/>
        </w:rPr>
      </w:pPr>
    </w:p>
    <w:p w14:paraId="1BF3DF5E"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Vaidlustuse aluseks olevad faktilised asjaolud</w:t>
      </w:r>
    </w:p>
    <w:p w14:paraId="75CCCB46" w14:textId="77777777" w:rsidR="00A94BE1" w:rsidRPr="00A94BE1" w:rsidRDefault="00A94BE1" w:rsidP="00A94BE1">
      <w:pPr>
        <w:pStyle w:val="ListParagraph"/>
        <w:ind w:left="360"/>
        <w:jc w:val="both"/>
        <w:rPr>
          <w:rFonts w:ascii="Palatino Linotype" w:hAnsi="Palatino Linotype"/>
          <w:b/>
          <w:bCs/>
          <w:lang w:val="et-EE"/>
        </w:rPr>
      </w:pPr>
    </w:p>
    <w:p w14:paraId="4C9F2A20"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Riigi Tugiteenuste Keskus avaldas 17.02.2025 Riigihangete registris teate „Maismaasõidukite varuosade ja pesuvedelike ostmine Päästeametile ja Politsei- ja Piirivalveametile“ riigihanke läbiviimise kohta, mis on registreeritud viitenumbriga 287219.</w:t>
      </w:r>
    </w:p>
    <w:p w14:paraId="111FE478" w14:textId="77777777" w:rsidR="00A94BE1" w:rsidRPr="00A94BE1" w:rsidRDefault="00A94BE1" w:rsidP="00A94BE1">
      <w:pPr>
        <w:pStyle w:val="ListParagraph"/>
        <w:ind w:left="567"/>
        <w:jc w:val="both"/>
        <w:rPr>
          <w:rFonts w:ascii="Palatino Linotype" w:hAnsi="Palatino Linotype"/>
          <w:b/>
          <w:bCs/>
          <w:lang w:val="et-EE"/>
        </w:rPr>
      </w:pPr>
    </w:p>
    <w:p w14:paraId="0F8C9714"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 xml:space="preserve">Hanke </w:t>
      </w:r>
      <w:r w:rsidRPr="00A94BE1">
        <w:rPr>
          <w:rFonts w:ascii="Palatino Linotype" w:hAnsi="Palatino Linotype"/>
          <w:color w:val="000000" w:themeColor="text1"/>
          <w:lang w:val="et-EE"/>
        </w:rPr>
        <w:t>o</w:t>
      </w:r>
      <w:r w:rsidRPr="00A94BE1">
        <w:rPr>
          <w:rFonts w:ascii="Palatino Linotype" w:hAnsi="Palatino Linotype"/>
          <w:color w:val="000000" w:themeColor="text1"/>
        </w:rPr>
        <w:t>bjektiks on Päästeameti ja Politsei- ja Piirivalveameti kasutuses olevate maismaasõidukite (sõiduautod, väikebussid, maasturid, kaubikud ning veoautod) varuosade ning sõidukite pesuvedelike ostmine ja nende tarnimine tellimuses määratud sihtkohta riigihanke alusdokumentides sätestatud tingimustel ja korras.</w:t>
      </w:r>
    </w:p>
    <w:p w14:paraId="1F8C98AF" w14:textId="77777777" w:rsidR="004608BF" w:rsidRPr="00A94BE1" w:rsidRDefault="004608BF">
      <w:pPr>
        <w:rPr>
          <w:sz w:val="22"/>
          <w:szCs w:val="22"/>
        </w:rPr>
      </w:pPr>
    </w:p>
    <w:p w14:paraId="6FCA30D0" w14:textId="77777777" w:rsidR="00A94BE1" w:rsidRPr="00A94BE1" w:rsidRDefault="00A94BE1" w:rsidP="00A94BE1">
      <w:pPr>
        <w:pStyle w:val="ListParagraph"/>
        <w:numPr>
          <w:ilvl w:val="1"/>
          <w:numId w:val="1"/>
        </w:numPr>
        <w:ind w:left="567" w:hanging="491"/>
        <w:jc w:val="both"/>
        <w:rPr>
          <w:rFonts w:ascii="Palatino Linotype" w:hAnsi="Palatino Linotype"/>
          <w:color w:val="000000" w:themeColor="text1"/>
          <w:lang w:val="et-EE"/>
        </w:rPr>
      </w:pPr>
      <w:r w:rsidRPr="00A94BE1">
        <w:rPr>
          <w:rFonts w:ascii="Palatino Linotype" w:hAnsi="Palatino Linotype"/>
          <w:lang w:val="et-EE"/>
        </w:rPr>
        <w:t xml:space="preserve">Riigihanke dokumendid on kättesaadavad internetikeskkonnas: </w:t>
      </w:r>
    </w:p>
    <w:p w14:paraId="3ABF8117" w14:textId="77777777" w:rsidR="00A94BE1" w:rsidRPr="00A94BE1" w:rsidRDefault="00A94BE1" w:rsidP="00A94BE1">
      <w:pPr>
        <w:pStyle w:val="ListParagraph"/>
        <w:ind w:left="567"/>
        <w:jc w:val="both"/>
        <w:rPr>
          <w:rFonts w:ascii="Palatino Linotype" w:hAnsi="Palatino Linotype"/>
          <w:color w:val="000000" w:themeColor="text1"/>
          <w:lang w:val="et-EE"/>
        </w:rPr>
      </w:pPr>
    </w:p>
    <w:p w14:paraId="5FC82DFD" w14:textId="77777777" w:rsidR="00A94BE1" w:rsidRDefault="00D633B0" w:rsidP="00821881">
      <w:pPr>
        <w:pStyle w:val="ListParagraph"/>
        <w:ind w:left="567"/>
        <w:jc w:val="both"/>
        <w:rPr>
          <w:rFonts w:ascii="Palatino Linotype" w:hAnsi="Palatino Linotype"/>
          <w:color w:val="000000" w:themeColor="text1"/>
          <w:u w:val="single"/>
          <w:lang w:val="et-EE"/>
        </w:rPr>
      </w:pPr>
      <w:hyperlink r:id="rId7" w:anchor="/procurement/8080904/general-info" w:history="1">
        <w:r w:rsidRPr="00740325">
          <w:rPr>
            <w:rStyle w:val="Hyperlink"/>
            <w:rFonts w:ascii="Palatino Linotype" w:hAnsi="Palatino Linotype"/>
            <w:lang w:val="et-EE"/>
          </w:rPr>
          <w:t>https://riigihanked.riik.ee/rhr-web/#/procurement/8080904/general-info</w:t>
        </w:r>
      </w:hyperlink>
    </w:p>
    <w:p w14:paraId="1D992C90" w14:textId="77777777" w:rsidR="00D633B0" w:rsidRPr="00821881" w:rsidRDefault="00D633B0" w:rsidP="00821881">
      <w:pPr>
        <w:pStyle w:val="ListParagraph"/>
        <w:ind w:left="567"/>
        <w:jc w:val="both"/>
        <w:rPr>
          <w:rFonts w:ascii="Palatino Linotype" w:hAnsi="Palatino Linotype"/>
          <w:b/>
          <w:bCs/>
          <w:u w:val="single"/>
          <w:lang w:val="et-EE"/>
        </w:rPr>
      </w:pPr>
    </w:p>
    <w:p w14:paraId="184F4823"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Hankija on koos hanketeatega avaldanud hanke alusdokumendi, s.o tehnilise kirjelduse (lisa 1), millest nähtuvalt on hange jagatud kahte ossa, neist esimeses osas soovitakse hankida sõiduautode varuosi ning pesuvedelikke ning teises osas soovitakse hankida veoautode varuosi.</w:t>
      </w:r>
    </w:p>
    <w:p w14:paraId="348F268E" w14:textId="77777777" w:rsidR="00A94BE1" w:rsidRPr="00A94BE1" w:rsidRDefault="00A94BE1" w:rsidP="00A94BE1">
      <w:pPr>
        <w:pStyle w:val="ListParagraph"/>
        <w:rPr>
          <w:rFonts w:ascii="Palatino Linotype" w:hAnsi="Palatino Linotype"/>
          <w:lang w:val="et-EE"/>
        </w:rPr>
      </w:pPr>
    </w:p>
    <w:p w14:paraId="72C6E622"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Pakkuja hinnangul on alusdokumendis</w:t>
      </w:r>
      <w:r w:rsidR="00D633B0">
        <w:rPr>
          <w:rFonts w:ascii="Palatino Linotype" w:hAnsi="Palatino Linotype"/>
          <w:lang w:val="et-EE"/>
        </w:rPr>
        <w:t>, s.o tehnilises kirjelduses avaldatud hankelepingu objekt osas 1, milleks on</w:t>
      </w:r>
      <w:r w:rsidRPr="00A94BE1">
        <w:rPr>
          <w:rFonts w:ascii="Palatino Linotype" w:hAnsi="Palatino Linotype"/>
          <w:lang w:val="et-EE"/>
        </w:rPr>
        <w:t xml:space="preserve"> pesuvedelike hankimine koos varuosadega konkurentsi piirav ning põhjendamatu, seetõttu leiab pakkuja, et alusdokumendi</w:t>
      </w:r>
      <w:r w:rsidR="00D633B0">
        <w:rPr>
          <w:rFonts w:ascii="Palatino Linotype" w:hAnsi="Palatino Linotype"/>
          <w:lang w:val="et-EE"/>
        </w:rPr>
        <w:t>d</w:t>
      </w:r>
      <w:r w:rsidRPr="00A94BE1">
        <w:rPr>
          <w:rFonts w:ascii="Palatino Linotype" w:hAnsi="Palatino Linotype"/>
          <w:lang w:val="et-EE"/>
        </w:rPr>
        <w:t xml:space="preserve"> on </w:t>
      </w:r>
      <w:r w:rsidR="00D633B0">
        <w:rPr>
          <w:rFonts w:ascii="Palatino Linotype" w:hAnsi="Palatino Linotype"/>
          <w:lang w:val="et-EE"/>
        </w:rPr>
        <w:t xml:space="preserve">selles osas </w:t>
      </w:r>
      <w:r w:rsidRPr="00A94BE1">
        <w:rPr>
          <w:rFonts w:ascii="Palatino Linotype" w:hAnsi="Palatino Linotype"/>
          <w:lang w:val="et-EE"/>
        </w:rPr>
        <w:t>vastuolus RHS § 2 lg-s 1 sätestatuga.</w:t>
      </w:r>
    </w:p>
    <w:p w14:paraId="53778A4E" w14:textId="77777777" w:rsidR="00A94BE1" w:rsidRPr="00A94BE1" w:rsidRDefault="00A94BE1" w:rsidP="00A94BE1">
      <w:pPr>
        <w:pStyle w:val="ListParagraph"/>
        <w:rPr>
          <w:rFonts w:ascii="Palatino Linotype" w:hAnsi="Palatino Linotype"/>
          <w:lang w:val="et-EE"/>
        </w:rPr>
      </w:pPr>
    </w:p>
    <w:p w14:paraId="2C01B82A"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 xml:space="preserve">Võttes arvesse kaebuse esitamise lühikest kaebetähtaega, peab pakkuja vajalikuks esitada käesolev vaidlustus. </w:t>
      </w:r>
    </w:p>
    <w:p w14:paraId="5902F753" w14:textId="77777777" w:rsidR="00A94BE1" w:rsidRPr="00A94BE1" w:rsidRDefault="00A94BE1" w:rsidP="00A94BE1">
      <w:pPr>
        <w:pStyle w:val="ListParagraph"/>
        <w:rPr>
          <w:rFonts w:ascii="Palatino Linotype" w:hAnsi="Palatino Linotype"/>
          <w:b/>
          <w:bCs/>
          <w:lang w:val="et-EE"/>
        </w:rPr>
      </w:pPr>
    </w:p>
    <w:p w14:paraId="61D723B6" w14:textId="77777777" w:rsidR="00A94BE1" w:rsidRPr="00A85F89"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Pakkuja põhjendab enda seisukohti alljärgnevalt.</w:t>
      </w:r>
    </w:p>
    <w:p w14:paraId="1581E0ED" w14:textId="77777777" w:rsidR="00A85F89" w:rsidRPr="00A85F89" w:rsidRDefault="00A85F89" w:rsidP="00A85F89">
      <w:pPr>
        <w:pStyle w:val="ListParagraph"/>
        <w:rPr>
          <w:rFonts w:ascii="Palatino Linotype" w:hAnsi="Palatino Linotype"/>
          <w:b/>
          <w:bCs/>
          <w:lang w:val="et-EE"/>
        </w:rPr>
      </w:pPr>
    </w:p>
    <w:p w14:paraId="329E957A" w14:textId="77777777" w:rsidR="00A85F89" w:rsidRDefault="00A85F89" w:rsidP="00A85F89">
      <w:pPr>
        <w:pStyle w:val="ListParagraph"/>
        <w:numPr>
          <w:ilvl w:val="0"/>
          <w:numId w:val="1"/>
        </w:numPr>
        <w:jc w:val="both"/>
        <w:rPr>
          <w:rFonts w:ascii="Palatino Linotype" w:hAnsi="Palatino Linotype"/>
          <w:b/>
          <w:bCs/>
          <w:lang w:val="et-EE"/>
        </w:rPr>
      </w:pPr>
      <w:r>
        <w:rPr>
          <w:rFonts w:ascii="Palatino Linotype" w:hAnsi="Palatino Linotype"/>
          <w:b/>
          <w:bCs/>
          <w:lang w:val="et-EE"/>
        </w:rPr>
        <w:t>Vaidlustuse ese</w:t>
      </w:r>
    </w:p>
    <w:p w14:paraId="08D937B3" w14:textId="77777777" w:rsidR="00A85F89" w:rsidRDefault="00A85F89" w:rsidP="00A85F89">
      <w:pPr>
        <w:pStyle w:val="ListParagraph"/>
        <w:ind w:left="360"/>
        <w:jc w:val="both"/>
        <w:rPr>
          <w:rFonts w:ascii="Palatino Linotype" w:hAnsi="Palatino Linotype"/>
          <w:b/>
          <w:bCs/>
          <w:lang w:val="et-EE"/>
        </w:rPr>
      </w:pPr>
    </w:p>
    <w:p w14:paraId="103A815B" w14:textId="77777777" w:rsidR="002F7013" w:rsidRPr="002F7013" w:rsidRDefault="002F7013" w:rsidP="00A85F89">
      <w:pPr>
        <w:pStyle w:val="ListParagraph"/>
        <w:numPr>
          <w:ilvl w:val="1"/>
          <w:numId w:val="1"/>
        </w:numPr>
        <w:ind w:left="426"/>
        <w:jc w:val="both"/>
        <w:rPr>
          <w:rFonts w:ascii="Palatino Linotype" w:hAnsi="Palatino Linotype"/>
          <w:b/>
          <w:bCs/>
          <w:lang w:val="et-EE"/>
        </w:rPr>
      </w:pPr>
      <w:r>
        <w:rPr>
          <w:rFonts w:ascii="Palatino Linotype" w:hAnsi="Palatino Linotype"/>
          <w:lang w:val="et-EE"/>
        </w:rPr>
        <w:t>Pakkuja vaidlustuse esemeks on nõue tuvastada tehnilise kirjelduse mittevastavus õigusaktidele osas, mis puudutab sõiduautode varuosade ja pesuvedelike koos hankimist.</w:t>
      </w:r>
      <w:r w:rsidR="00D633B0">
        <w:rPr>
          <w:rFonts w:ascii="Palatino Linotype" w:hAnsi="Palatino Linotype"/>
          <w:lang w:val="et-EE"/>
        </w:rPr>
        <w:t xml:space="preserve"> Sõiduautode varuosade ja pesuvedelike koos hankimine on avaldatud tehnilise kirjelduse p-s 1.</w:t>
      </w:r>
    </w:p>
    <w:p w14:paraId="2F8143CC" w14:textId="77777777" w:rsidR="002F7013" w:rsidRPr="002F7013" w:rsidRDefault="002F7013" w:rsidP="002F7013">
      <w:pPr>
        <w:pStyle w:val="ListParagraph"/>
        <w:ind w:left="426"/>
        <w:jc w:val="both"/>
        <w:rPr>
          <w:rFonts w:ascii="Palatino Linotype" w:hAnsi="Palatino Linotype"/>
          <w:b/>
          <w:bCs/>
          <w:lang w:val="et-EE"/>
        </w:rPr>
      </w:pPr>
    </w:p>
    <w:p w14:paraId="0D12A462" w14:textId="77777777" w:rsidR="00A85F89" w:rsidRPr="008C43DC" w:rsidRDefault="008C43DC" w:rsidP="00A85F89">
      <w:pPr>
        <w:pStyle w:val="ListParagraph"/>
        <w:numPr>
          <w:ilvl w:val="1"/>
          <w:numId w:val="1"/>
        </w:numPr>
        <w:ind w:left="426"/>
        <w:jc w:val="both"/>
        <w:rPr>
          <w:rFonts w:ascii="Palatino Linotype" w:hAnsi="Palatino Linotype"/>
          <w:b/>
          <w:bCs/>
          <w:lang w:val="et-EE"/>
        </w:rPr>
      </w:pPr>
      <w:r>
        <w:rPr>
          <w:rFonts w:ascii="Palatino Linotype" w:hAnsi="Palatino Linotype"/>
          <w:lang w:val="et-EE"/>
        </w:rPr>
        <w:t>Pakkuja soovib vaidlustada riigihanke 287219 objekti, mis on kirjeldatud riigihanke 287219 tehnilise kirjelduse p-s 1, täpsemalt soovib vaidlustada tehnilist kirjeldust riigihanke osa 1 suhtes, milles on omavahel seotud sõiduautode varuosade ja pesuvedelike ostmine.</w:t>
      </w:r>
    </w:p>
    <w:p w14:paraId="1F38EAB7" w14:textId="77777777" w:rsidR="008C43DC" w:rsidRPr="008C43DC" w:rsidRDefault="008C43DC" w:rsidP="008C43DC">
      <w:pPr>
        <w:pStyle w:val="ListParagraph"/>
        <w:ind w:left="426"/>
        <w:jc w:val="both"/>
        <w:rPr>
          <w:rFonts w:ascii="Palatino Linotype" w:hAnsi="Palatino Linotype"/>
          <w:b/>
          <w:bCs/>
          <w:lang w:val="et-EE"/>
        </w:rPr>
      </w:pPr>
    </w:p>
    <w:p w14:paraId="65914146" w14:textId="77777777" w:rsidR="008C43DC" w:rsidRPr="008C43DC" w:rsidRDefault="008C43DC" w:rsidP="00A85F89">
      <w:pPr>
        <w:pStyle w:val="ListParagraph"/>
        <w:numPr>
          <w:ilvl w:val="1"/>
          <w:numId w:val="1"/>
        </w:numPr>
        <w:ind w:left="426"/>
        <w:jc w:val="both"/>
        <w:rPr>
          <w:rFonts w:ascii="Palatino Linotype" w:hAnsi="Palatino Linotype"/>
          <w:b/>
          <w:bCs/>
          <w:lang w:val="et-EE"/>
        </w:rPr>
      </w:pPr>
      <w:r>
        <w:rPr>
          <w:rFonts w:ascii="Palatino Linotype" w:hAnsi="Palatino Linotype"/>
          <w:lang w:val="et-EE"/>
        </w:rPr>
        <w:t>Pakkuja taotleb, et vaidlustuse rahuldamisel kohustaks Riigihangete Vaidlustuskomisjon hankijat tehnilise kirjelduse õigusaktidele vastavusse viima selliselt, et hankija ei hangiks koos sõiduautode varuosasid ja pesuvedelikke.</w:t>
      </w:r>
    </w:p>
    <w:p w14:paraId="10820F9F" w14:textId="77777777" w:rsidR="008C43DC" w:rsidRPr="008C43DC" w:rsidRDefault="008C43DC" w:rsidP="008C43DC">
      <w:pPr>
        <w:pStyle w:val="ListParagraph"/>
        <w:rPr>
          <w:rFonts w:ascii="Palatino Linotype" w:hAnsi="Palatino Linotype"/>
          <w:b/>
          <w:bCs/>
          <w:lang w:val="et-EE"/>
        </w:rPr>
      </w:pPr>
    </w:p>
    <w:p w14:paraId="689DFD88" w14:textId="4A0ABCEB" w:rsidR="00D633B0" w:rsidRPr="00D633B0" w:rsidRDefault="008C43DC" w:rsidP="00D633B0">
      <w:pPr>
        <w:pStyle w:val="ListParagraph"/>
        <w:numPr>
          <w:ilvl w:val="1"/>
          <w:numId w:val="1"/>
        </w:numPr>
        <w:ind w:left="426"/>
        <w:jc w:val="both"/>
        <w:rPr>
          <w:rFonts w:ascii="Palatino Linotype" w:hAnsi="Palatino Linotype"/>
          <w:b/>
          <w:bCs/>
          <w:lang w:val="et-EE"/>
        </w:rPr>
      </w:pPr>
      <w:r>
        <w:rPr>
          <w:rFonts w:ascii="Palatino Linotype" w:hAnsi="Palatino Linotype"/>
          <w:lang w:val="et-EE"/>
        </w:rPr>
        <w:t xml:space="preserve">Pakkuja hinnangul on sõiduautode varuosade- ja </w:t>
      </w:r>
      <w:r w:rsidR="002F7013">
        <w:rPr>
          <w:rFonts w:ascii="Palatino Linotype" w:hAnsi="Palatino Linotype"/>
          <w:lang w:val="et-EE"/>
        </w:rPr>
        <w:t>pesuvedelike koos hankimine konkurentsi piirav, peamiselt seetõttu, et tegemist on erinevate valdkondade ja tegevusaladega, ehk siis pesuvedelike müüjad ei paku reeglina sõiduautode varuosi ning vastupidi. Selline ühishange on pakkuja hinnangul vastuolus RHS § 3 p-s 3  sätestatud konkurentsi efektiivse ärakasutamise põhimõttega.</w:t>
      </w:r>
    </w:p>
    <w:p w14:paraId="10144225" w14:textId="77777777" w:rsidR="00A94BE1" w:rsidRPr="00A94BE1" w:rsidRDefault="00A94BE1" w:rsidP="00A94BE1">
      <w:pPr>
        <w:pStyle w:val="ListParagraph"/>
        <w:rPr>
          <w:rFonts w:ascii="Palatino Linotype" w:hAnsi="Palatino Linotype"/>
          <w:b/>
          <w:bCs/>
          <w:lang w:val="et-EE"/>
        </w:rPr>
      </w:pPr>
    </w:p>
    <w:p w14:paraId="743A42F4"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Tehnilise kirjelduse vastuolu riigihankeseadusega</w:t>
      </w:r>
    </w:p>
    <w:p w14:paraId="7A278FB6" w14:textId="77777777" w:rsidR="00A94BE1" w:rsidRPr="00A94BE1" w:rsidRDefault="00A94BE1" w:rsidP="00A94BE1">
      <w:pPr>
        <w:pStyle w:val="ListParagraph"/>
        <w:ind w:left="360"/>
        <w:jc w:val="both"/>
        <w:rPr>
          <w:rFonts w:ascii="Palatino Linotype" w:hAnsi="Palatino Linotype"/>
          <w:b/>
          <w:bCs/>
          <w:lang w:val="et-EE"/>
        </w:rPr>
      </w:pPr>
    </w:p>
    <w:p w14:paraId="5AC129BC"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Pakkuja hinnangul on kahe erineva valdkonna, s.o sõiduautode varuosad</w:t>
      </w:r>
      <w:r w:rsidR="00D633B0">
        <w:rPr>
          <w:rFonts w:ascii="Palatino Linotype" w:hAnsi="Palatino Linotype"/>
          <w:lang w:val="et-EE"/>
        </w:rPr>
        <w:t>e</w:t>
      </w:r>
      <w:r w:rsidRPr="00A94BE1">
        <w:rPr>
          <w:rFonts w:ascii="Palatino Linotype" w:hAnsi="Palatino Linotype"/>
          <w:lang w:val="et-EE"/>
        </w:rPr>
        <w:t xml:space="preserve"> ja sõidukite pesuvedelik</w:t>
      </w:r>
      <w:r w:rsidR="00D633B0">
        <w:rPr>
          <w:rFonts w:ascii="Palatino Linotype" w:hAnsi="Palatino Linotype"/>
          <w:lang w:val="et-EE"/>
        </w:rPr>
        <w:t xml:space="preserve">e </w:t>
      </w:r>
      <w:r w:rsidRPr="00A94BE1">
        <w:rPr>
          <w:rFonts w:ascii="Palatino Linotype" w:hAnsi="Palatino Linotype"/>
          <w:lang w:val="et-EE"/>
        </w:rPr>
        <w:t xml:space="preserve">koos hankimine ebamõistlikult </w:t>
      </w:r>
      <w:r w:rsidR="00D633B0">
        <w:rPr>
          <w:rFonts w:ascii="Palatino Linotype" w:hAnsi="Palatino Linotype"/>
          <w:lang w:val="et-EE"/>
        </w:rPr>
        <w:t xml:space="preserve">konkurentis </w:t>
      </w:r>
      <w:r w:rsidRPr="00A94BE1">
        <w:rPr>
          <w:rFonts w:ascii="Palatino Linotype" w:hAnsi="Palatino Linotype"/>
          <w:lang w:val="et-EE"/>
        </w:rPr>
        <w:t xml:space="preserve">piirav ning vastuolus  RHS § 2 </w:t>
      </w:r>
      <w:r w:rsidRPr="00A94BE1">
        <w:rPr>
          <w:rFonts w:ascii="Palatino Linotype" w:hAnsi="Palatino Linotype"/>
          <w:lang w:val="et-EE"/>
        </w:rPr>
        <w:lastRenderedPageBreak/>
        <w:t xml:space="preserve">lg-ga 1, mille kohaselt tuleb riigihanke läbiviimisel tagada konkurentsi efektiivne ära kasutamine. </w:t>
      </w:r>
    </w:p>
    <w:p w14:paraId="3F6AEB70" w14:textId="77777777" w:rsidR="00A94BE1" w:rsidRPr="00A94BE1" w:rsidRDefault="00A94BE1" w:rsidP="00A94BE1">
      <w:pPr>
        <w:pStyle w:val="ListParagraph"/>
        <w:ind w:left="426"/>
        <w:jc w:val="both"/>
        <w:rPr>
          <w:rFonts w:ascii="Palatino Linotype" w:hAnsi="Palatino Linotype"/>
          <w:b/>
          <w:bCs/>
          <w:lang w:val="et-EE"/>
        </w:rPr>
      </w:pPr>
    </w:p>
    <w:p w14:paraId="03D6EEE0"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Pakkuja hinnangul ei ole konkurentsi efektiivne ära kasutamine tagatud olukorras, kus hanke objektiks on kokku pandud kaks sedavõrd erinevat valdkonda, et suuremad tootjad hankel iseseisvalt osaleda ei saa. </w:t>
      </w:r>
    </w:p>
    <w:p w14:paraId="6796A9EA" w14:textId="77777777" w:rsidR="00A94BE1" w:rsidRPr="00A94BE1" w:rsidRDefault="00A94BE1" w:rsidP="00A94BE1">
      <w:pPr>
        <w:pStyle w:val="ListParagraph"/>
        <w:rPr>
          <w:rFonts w:ascii="Palatino Linotype" w:hAnsi="Palatino Linotype"/>
          <w:b/>
          <w:bCs/>
          <w:lang w:val="et-EE"/>
        </w:rPr>
      </w:pPr>
    </w:p>
    <w:p w14:paraId="1A016C19"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Pakkuja tegutseb sõidukite pesuvedelike pakendamise ja tootmisega alates aastast 2001 ning pakkuja pesuvedelike müügimaht on iga aastaselt ca 1,5 miljonit eurot, seejuures teenindatakse suuremaid autokeskusi, põllumajandusettevõtteid, pesulaid, auto remonditöökodasid jne, kuid võttes arvesse, et pakkuja ei tegele sõidukite varuosade müügiga, ei saaks pakkuja vaidlusalusel riigihankel üksi osaleda.</w:t>
      </w:r>
    </w:p>
    <w:p w14:paraId="439CB8C0" w14:textId="77777777" w:rsidR="00A94BE1" w:rsidRPr="00A94BE1" w:rsidRDefault="00A94BE1" w:rsidP="00A94BE1">
      <w:pPr>
        <w:rPr>
          <w:rFonts w:ascii="Palatino Linotype" w:hAnsi="Palatino Linotype"/>
          <w:b/>
          <w:bCs/>
          <w:sz w:val="22"/>
          <w:szCs w:val="22"/>
          <w:lang w:val="et-EE"/>
        </w:rPr>
      </w:pPr>
    </w:p>
    <w:p w14:paraId="6E686408"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Pakkuja soovib enda etteheiteid tehnilisele kirjeldusele ilmestada ka alloleva näitega.</w:t>
      </w:r>
    </w:p>
    <w:p w14:paraId="35D26F48" w14:textId="77777777" w:rsidR="00A94BE1" w:rsidRPr="00A94BE1" w:rsidRDefault="00A94BE1" w:rsidP="00A94BE1">
      <w:pPr>
        <w:pStyle w:val="ListParagraph"/>
        <w:rPr>
          <w:rFonts w:ascii="Palatino Linotype" w:hAnsi="Palatino Linotype"/>
          <w:lang w:val="et-EE"/>
        </w:rPr>
      </w:pPr>
    </w:p>
    <w:p w14:paraId="6503F80B"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Eestis üks suuremaid autokeemia ja pesuvahendite tootjaid on AS Estko, kelle aastane müügimaht on ca 7-8 miljonit eurot ning kes analoogselt vaidlustajaga ei saaks vaidlusalusel hankel üksi osaleda.</w:t>
      </w:r>
    </w:p>
    <w:p w14:paraId="644FA47F" w14:textId="77777777" w:rsidR="00A94BE1" w:rsidRPr="00A94BE1" w:rsidRDefault="00A94BE1" w:rsidP="00A94BE1">
      <w:pPr>
        <w:pStyle w:val="ListParagraph"/>
        <w:rPr>
          <w:rFonts w:ascii="Palatino Linotype" w:hAnsi="Palatino Linotype"/>
          <w:b/>
          <w:bCs/>
          <w:lang w:val="et-EE"/>
        </w:rPr>
      </w:pPr>
    </w:p>
    <w:p w14:paraId="5E66888E" w14:textId="77777777" w:rsidR="00A94BE1" w:rsidRPr="00D633B0" w:rsidRDefault="00A94BE1" w:rsidP="00D633B0">
      <w:pPr>
        <w:pStyle w:val="ListParagraph"/>
        <w:numPr>
          <w:ilvl w:val="1"/>
          <w:numId w:val="1"/>
        </w:numPr>
        <w:ind w:left="426"/>
        <w:jc w:val="both"/>
        <w:rPr>
          <w:rFonts w:ascii="Palatino Linotype" w:hAnsi="Palatino Linotype"/>
          <w:lang w:val="et-EE"/>
        </w:rPr>
      </w:pPr>
      <w:r w:rsidRPr="00A94BE1">
        <w:rPr>
          <w:rFonts w:ascii="Palatino Linotype" w:hAnsi="Palatino Linotype"/>
          <w:lang w:val="et-EE"/>
        </w:rPr>
        <w:t xml:space="preserve">Kokkuvõttes tekitab kahe täiesti erineva kategooria ning valdkonna toodete koos hankimine olukorra, kus turul tegutsevad erialaselt spetsialiseerunud ning parima võimekusega pakkujad ei pääse hankele pakkuma, mis on vaidlustaja hinnangul selgelt ebaefektiivne rahaliste vahendite kasutamine ning konkurentsi piirav. </w:t>
      </w:r>
    </w:p>
    <w:p w14:paraId="1E91A96C" w14:textId="77777777" w:rsidR="00A94BE1" w:rsidRPr="003B729D" w:rsidRDefault="00A94BE1" w:rsidP="003B729D">
      <w:pPr>
        <w:rPr>
          <w:rFonts w:ascii="Palatino Linotype" w:hAnsi="Palatino Linotype"/>
          <w:b/>
          <w:bCs/>
          <w:lang w:val="et-EE"/>
        </w:rPr>
      </w:pPr>
    </w:p>
    <w:p w14:paraId="551D550C"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Taotlus hankemenetluse peatamiseks</w:t>
      </w:r>
    </w:p>
    <w:p w14:paraId="61548BC4" w14:textId="77777777" w:rsidR="00A94BE1" w:rsidRPr="00A94BE1" w:rsidRDefault="00A94BE1" w:rsidP="00A94BE1">
      <w:pPr>
        <w:pStyle w:val="ListParagraph"/>
        <w:ind w:left="426"/>
        <w:jc w:val="both"/>
        <w:rPr>
          <w:rFonts w:ascii="Palatino Linotype" w:hAnsi="Palatino Linotype"/>
          <w:b/>
          <w:bCs/>
          <w:lang w:val="et-EE"/>
        </w:rPr>
      </w:pPr>
    </w:p>
    <w:p w14:paraId="0382D950"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RHS § 193 lg 1 sätestab, et </w:t>
      </w:r>
      <w:r w:rsidRPr="00A94BE1">
        <w:rPr>
          <w:rFonts w:ascii="Palatino Linotype" w:hAnsi="Palatino Linotype" w:cs="Arial"/>
          <w:color w:val="202020"/>
          <w:shd w:val="clear" w:color="auto" w:fill="FFFFFF"/>
        </w:rPr>
        <w:t xml:space="preserve">vaidlustuskomisjon võib vaidlustaja põhjendatud taotluse alusel teha igas vaidlustusmenetluse staadiumis otsuse riigihanke peatamise kohta, võttes arvesse peatamisest tulenevaid võimalikke tagajärgi kõigile huvidele, mida võidakse kahjustada. </w:t>
      </w:r>
    </w:p>
    <w:p w14:paraId="4DD7963F" w14:textId="77777777" w:rsidR="00A94BE1" w:rsidRPr="00A94BE1" w:rsidRDefault="00A94BE1" w:rsidP="00A94BE1">
      <w:pPr>
        <w:pStyle w:val="ListParagraph"/>
        <w:ind w:left="426"/>
        <w:jc w:val="both"/>
        <w:rPr>
          <w:rFonts w:ascii="Palatino Linotype" w:hAnsi="Palatino Linotype"/>
          <w:b/>
          <w:bCs/>
          <w:lang w:val="et-EE"/>
        </w:rPr>
      </w:pPr>
    </w:p>
    <w:p w14:paraId="62ABD3F7" w14:textId="77777777" w:rsidR="00D633B0" w:rsidRPr="00D633B0"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Vaidlustaja hinnangul on käesoleval juhul menetluse peatamine õigustatud seetõttu, et menetlus peaks jätkuma õiguspärastel tingimustel ning sellise olukorra saavutamine ei ole enam võimalik peale pakkumuste esitamist, sest peale pakkumuste esitamise tähtaja möödumist </w:t>
      </w:r>
      <w:r w:rsidRPr="00A94BE1">
        <w:rPr>
          <w:rFonts w:ascii="Palatino Linotype" w:hAnsi="Palatino Linotype"/>
        </w:rPr>
        <w:t xml:space="preserve">on alusdokumentides sätestatud tingimused kohustuslikud nii hankijale kui pakkujatele/taotlejatele, kellel tuleb edasises menetluses nendest tingimustest lähtuda. </w:t>
      </w:r>
    </w:p>
    <w:p w14:paraId="74EF85D7" w14:textId="77777777" w:rsidR="00D633B0" w:rsidRPr="00D633B0" w:rsidRDefault="00D633B0" w:rsidP="00D633B0">
      <w:pPr>
        <w:pStyle w:val="ListParagraph"/>
        <w:rPr>
          <w:rFonts w:ascii="Palatino Linotype" w:hAnsi="Palatino Linotype"/>
        </w:rPr>
      </w:pPr>
    </w:p>
    <w:p w14:paraId="23EE8484" w14:textId="77777777" w:rsidR="00D633B0" w:rsidRPr="00D633B0" w:rsidRDefault="00D633B0" w:rsidP="00A94BE1">
      <w:pPr>
        <w:pStyle w:val="ListParagraph"/>
        <w:numPr>
          <w:ilvl w:val="1"/>
          <w:numId w:val="1"/>
        </w:numPr>
        <w:ind w:left="426"/>
        <w:jc w:val="both"/>
        <w:rPr>
          <w:rFonts w:ascii="Palatino Linotype" w:hAnsi="Palatino Linotype"/>
          <w:b/>
          <w:bCs/>
          <w:lang w:val="et-EE"/>
        </w:rPr>
      </w:pPr>
      <w:r>
        <w:rPr>
          <w:rFonts w:ascii="Palatino Linotype" w:hAnsi="Palatino Linotype"/>
        </w:rPr>
        <w:t>Juhul kui hankemenetlust ei peatata, ei saa hankel osaleda need pakkujad, kes sooviksid pakkuda vaid sõidukite varuosi ilma pesuvedelikkudeta ning vastupidi.</w:t>
      </w:r>
    </w:p>
    <w:p w14:paraId="105E75BA" w14:textId="77777777" w:rsidR="00D633B0" w:rsidRPr="00D633B0" w:rsidRDefault="00D633B0" w:rsidP="00D633B0">
      <w:pPr>
        <w:pStyle w:val="ListParagraph"/>
        <w:rPr>
          <w:rFonts w:ascii="Palatino Linotype" w:hAnsi="Palatino Linotype"/>
        </w:rPr>
      </w:pPr>
    </w:p>
    <w:p w14:paraId="12D715C6"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rPr>
        <w:lastRenderedPageBreak/>
        <w:t>Vaidlustuskomisjon ega kohus ei saa kohustada hankijat pärast pakkumuste või taotluste esitamise tähtpäeva möödumist riigihanke alusdokumente muutma</w:t>
      </w:r>
      <w:r w:rsidRPr="00A94BE1">
        <w:rPr>
          <w:rStyle w:val="FootnoteReference"/>
          <w:rFonts w:ascii="Palatino Linotype" w:hAnsi="Palatino Linotype"/>
        </w:rPr>
        <w:footnoteReference w:id="1"/>
      </w:r>
      <w:r w:rsidRPr="00A94BE1">
        <w:rPr>
          <w:rFonts w:ascii="Palatino Linotype" w:hAnsi="Palatino Linotype"/>
        </w:rPr>
        <w:t>.</w:t>
      </w:r>
    </w:p>
    <w:p w14:paraId="606AFF0E" w14:textId="77777777" w:rsidR="00A94BE1" w:rsidRPr="00A94BE1" w:rsidRDefault="00A94BE1" w:rsidP="00A94BE1">
      <w:pPr>
        <w:pStyle w:val="ListParagraph"/>
        <w:rPr>
          <w:rFonts w:ascii="Palatino Linotype" w:hAnsi="Palatino Linotype"/>
          <w:b/>
          <w:bCs/>
          <w:lang w:val="et-EE"/>
        </w:rPr>
      </w:pPr>
    </w:p>
    <w:p w14:paraId="03C7A9C9"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Võttes arvesse, et käesoleva vaidlustuse esemeks on riigihanke alusdokumendi, s.o </w:t>
      </w:r>
      <w:r w:rsidR="007B5890">
        <w:rPr>
          <w:rFonts w:ascii="Palatino Linotype" w:hAnsi="Palatino Linotype"/>
          <w:lang w:val="et-EE"/>
        </w:rPr>
        <w:t>tehnilise kirjelduse</w:t>
      </w:r>
      <w:r w:rsidRPr="00A94BE1">
        <w:rPr>
          <w:rFonts w:ascii="Palatino Linotype" w:hAnsi="Palatino Linotype"/>
          <w:lang w:val="et-EE"/>
        </w:rPr>
        <w:t xml:space="preserve"> </w:t>
      </w:r>
      <w:r w:rsidR="00D633B0">
        <w:rPr>
          <w:rFonts w:ascii="Palatino Linotype" w:hAnsi="Palatino Linotype"/>
          <w:lang w:val="et-EE"/>
        </w:rPr>
        <w:t xml:space="preserve">osalise </w:t>
      </w:r>
      <w:r w:rsidRPr="00A94BE1">
        <w:rPr>
          <w:rFonts w:ascii="Palatino Linotype" w:hAnsi="Palatino Linotype"/>
          <w:lang w:val="et-EE"/>
        </w:rPr>
        <w:t>õigusvastasuse tuvastamise ja kehtivate õigusaktidega vastavusse viimise nõue, palub vaidlustaja lugeda riigihanke 287219 peatamise taotluse põhistatuks ning riigihanke 287219 peatada.</w:t>
      </w:r>
    </w:p>
    <w:p w14:paraId="1DC93480" w14:textId="77777777" w:rsidR="00A94BE1" w:rsidRPr="00A94BE1" w:rsidRDefault="00A94BE1" w:rsidP="00A94BE1">
      <w:pPr>
        <w:pStyle w:val="ListParagraph"/>
        <w:ind w:left="426"/>
        <w:jc w:val="both"/>
        <w:rPr>
          <w:rFonts w:ascii="Palatino Linotype" w:hAnsi="Palatino Linotype"/>
          <w:b/>
          <w:bCs/>
          <w:lang w:val="et-EE"/>
        </w:rPr>
      </w:pPr>
    </w:p>
    <w:p w14:paraId="4AEFD9FB"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Menetluslikud teated</w:t>
      </w:r>
    </w:p>
    <w:p w14:paraId="6E8A56F6" w14:textId="77777777" w:rsidR="00A94BE1" w:rsidRPr="00A94BE1" w:rsidRDefault="00A94BE1" w:rsidP="00A94BE1">
      <w:pPr>
        <w:pStyle w:val="ListParagraph"/>
        <w:ind w:left="360"/>
        <w:jc w:val="both"/>
        <w:rPr>
          <w:rFonts w:ascii="Palatino Linotype" w:hAnsi="Palatino Linotype"/>
          <w:b/>
          <w:bCs/>
          <w:lang w:val="et-EE"/>
        </w:rPr>
      </w:pPr>
    </w:p>
    <w:p w14:paraId="4C3700F8"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Kooskõlas riigilõivu seaduse §  258 p-ga 2 on vaidlustaja tasunud riigilõivu summas 1 280,00 eurot (lisa 2).</w:t>
      </w:r>
    </w:p>
    <w:p w14:paraId="752D0F9E" w14:textId="77777777" w:rsidR="00A94BE1" w:rsidRPr="00A94BE1" w:rsidRDefault="00A94BE1" w:rsidP="00A94BE1">
      <w:pPr>
        <w:pStyle w:val="ListParagraph"/>
        <w:ind w:left="426"/>
        <w:jc w:val="both"/>
        <w:rPr>
          <w:rFonts w:ascii="Palatino Linotype" w:hAnsi="Palatino Linotype"/>
          <w:b/>
          <w:bCs/>
          <w:lang w:val="et-EE"/>
        </w:rPr>
      </w:pPr>
    </w:p>
    <w:p w14:paraId="5CBD2552"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Kaebuse esitamise tähtajast</w:t>
      </w:r>
    </w:p>
    <w:p w14:paraId="5F4D9D9E" w14:textId="77777777" w:rsidR="00A94BE1" w:rsidRPr="00A94BE1" w:rsidRDefault="00A94BE1" w:rsidP="00A94BE1">
      <w:pPr>
        <w:pStyle w:val="ListParagraph"/>
        <w:ind w:left="360"/>
        <w:jc w:val="both"/>
        <w:rPr>
          <w:rFonts w:ascii="Palatino Linotype" w:hAnsi="Palatino Linotype"/>
          <w:b/>
          <w:bCs/>
          <w:lang w:val="et-EE"/>
        </w:rPr>
      </w:pPr>
    </w:p>
    <w:p w14:paraId="3FA4A6A4"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Vaidlusaluse riigihanke 287219 hankedokumendid on avaldatud Riigihangete infoportaalis 17.02.2025, mistõttu on käesolev kaebus esitatud kooskõlas RHS § 189 lg-s 1 sätestatud tähtajaga.</w:t>
      </w:r>
    </w:p>
    <w:p w14:paraId="2A99BF2A" w14:textId="77777777" w:rsidR="00A94BE1" w:rsidRPr="00A94BE1" w:rsidRDefault="00A94BE1" w:rsidP="00A94BE1">
      <w:pPr>
        <w:pStyle w:val="ListParagraph"/>
        <w:rPr>
          <w:rFonts w:ascii="Palatino Linotype" w:hAnsi="Palatino Linotype"/>
          <w:b/>
          <w:bCs/>
          <w:lang w:val="et-EE"/>
        </w:rPr>
      </w:pPr>
    </w:p>
    <w:p w14:paraId="67478313"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Lisad:</w:t>
      </w:r>
    </w:p>
    <w:p w14:paraId="3D7C616B" w14:textId="77777777" w:rsidR="00A94BE1" w:rsidRPr="00A94BE1" w:rsidRDefault="00A94BE1" w:rsidP="00A94BE1">
      <w:pPr>
        <w:pStyle w:val="ListParagraph"/>
        <w:numPr>
          <w:ilvl w:val="0"/>
          <w:numId w:val="2"/>
        </w:numPr>
        <w:jc w:val="both"/>
        <w:rPr>
          <w:rFonts w:ascii="Palatino Linotype" w:hAnsi="Palatino Linotype"/>
          <w:lang w:val="et-EE"/>
        </w:rPr>
      </w:pPr>
      <w:r w:rsidRPr="00A94BE1">
        <w:rPr>
          <w:rFonts w:ascii="Palatino Linotype" w:hAnsi="Palatino Linotype"/>
          <w:lang w:val="et-EE"/>
        </w:rPr>
        <w:t>Tehniline kirjeldus;</w:t>
      </w:r>
    </w:p>
    <w:p w14:paraId="67B226D4" w14:textId="77777777" w:rsidR="00A94BE1" w:rsidRPr="00A94BE1" w:rsidRDefault="00A94BE1" w:rsidP="00A94BE1">
      <w:pPr>
        <w:pStyle w:val="ListParagraph"/>
        <w:numPr>
          <w:ilvl w:val="0"/>
          <w:numId w:val="2"/>
        </w:numPr>
        <w:jc w:val="both"/>
        <w:rPr>
          <w:rFonts w:ascii="Palatino Linotype" w:hAnsi="Palatino Linotype"/>
          <w:lang w:val="et-EE"/>
        </w:rPr>
      </w:pPr>
      <w:r w:rsidRPr="00A94BE1">
        <w:rPr>
          <w:rFonts w:ascii="Palatino Linotype" w:hAnsi="Palatino Linotype"/>
          <w:lang w:val="et-EE"/>
        </w:rPr>
        <w:t>Koopia maksekorraldusest riigilõivu tasumise kohta.</w:t>
      </w:r>
    </w:p>
    <w:p w14:paraId="38886E81" w14:textId="77777777" w:rsidR="00A94BE1" w:rsidRPr="00A94BE1" w:rsidRDefault="00A94BE1" w:rsidP="00A94BE1">
      <w:pPr>
        <w:jc w:val="both"/>
        <w:rPr>
          <w:rFonts w:ascii="Palatino Linotype" w:hAnsi="Palatino Linotype"/>
          <w:sz w:val="22"/>
          <w:szCs w:val="22"/>
          <w:lang w:val="et-EE"/>
        </w:rPr>
      </w:pPr>
    </w:p>
    <w:p w14:paraId="65041C62"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Austusega</w:t>
      </w:r>
    </w:p>
    <w:p w14:paraId="69C1CD6A" w14:textId="77777777" w:rsidR="00A94BE1" w:rsidRPr="00A94BE1" w:rsidRDefault="00A94BE1" w:rsidP="00A94BE1">
      <w:pPr>
        <w:jc w:val="both"/>
        <w:rPr>
          <w:rFonts w:ascii="Palatino Linotype" w:hAnsi="Palatino Linotype"/>
          <w:sz w:val="22"/>
          <w:szCs w:val="22"/>
          <w:lang w:val="et-EE"/>
        </w:rPr>
      </w:pPr>
    </w:p>
    <w:p w14:paraId="4AF25857" w14:textId="77777777" w:rsidR="00A94BE1" w:rsidRPr="00A94BE1" w:rsidRDefault="00A94BE1" w:rsidP="00A94BE1">
      <w:pPr>
        <w:jc w:val="both"/>
        <w:rPr>
          <w:rFonts w:ascii="Palatino Linotype" w:hAnsi="Palatino Linotype"/>
          <w:i/>
          <w:iCs/>
          <w:sz w:val="22"/>
          <w:szCs w:val="22"/>
          <w:lang w:val="et-EE"/>
        </w:rPr>
      </w:pPr>
      <w:r w:rsidRPr="00A94BE1">
        <w:rPr>
          <w:rFonts w:ascii="Palatino Linotype" w:hAnsi="Palatino Linotype"/>
          <w:i/>
          <w:iCs/>
          <w:sz w:val="22"/>
          <w:szCs w:val="22"/>
          <w:lang w:val="et-EE"/>
        </w:rPr>
        <w:t>/digitaalallkiri/</w:t>
      </w:r>
    </w:p>
    <w:p w14:paraId="4E33CC9C" w14:textId="77777777" w:rsidR="00A94BE1" w:rsidRPr="00A94BE1" w:rsidRDefault="00A94BE1" w:rsidP="00A94BE1">
      <w:pPr>
        <w:jc w:val="both"/>
        <w:rPr>
          <w:rFonts w:ascii="Palatino Linotype" w:hAnsi="Palatino Linotype"/>
          <w:i/>
          <w:iCs/>
          <w:sz w:val="22"/>
          <w:szCs w:val="22"/>
          <w:lang w:val="et-EE"/>
        </w:rPr>
      </w:pPr>
    </w:p>
    <w:p w14:paraId="343D4FB2"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Lauri Valk</w:t>
      </w:r>
    </w:p>
    <w:p w14:paraId="2F271D08" w14:textId="77777777" w:rsidR="00A94BE1" w:rsidRPr="00A94BE1" w:rsidRDefault="00A94BE1">
      <w:pPr>
        <w:rPr>
          <w:sz w:val="22"/>
          <w:szCs w:val="22"/>
        </w:rPr>
      </w:pPr>
    </w:p>
    <w:sectPr w:rsidR="00A94BE1" w:rsidRPr="00A94B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6D7E" w14:textId="77777777" w:rsidR="00C078FA" w:rsidRDefault="00C078FA" w:rsidP="00A94BE1">
      <w:r>
        <w:separator/>
      </w:r>
    </w:p>
  </w:endnote>
  <w:endnote w:type="continuationSeparator" w:id="0">
    <w:p w14:paraId="54CD5D39" w14:textId="77777777" w:rsidR="00C078FA" w:rsidRDefault="00C078FA" w:rsidP="00A9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CC0E" w14:textId="77777777" w:rsidR="00C078FA" w:rsidRDefault="00C078FA" w:rsidP="00A94BE1">
      <w:r>
        <w:separator/>
      </w:r>
    </w:p>
  </w:footnote>
  <w:footnote w:type="continuationSeparator" w:id="0">
    <w:p w14:paraId="26A0436C" w14:textId="77777777" w:rsidR="00C078FA" w:rsidRDefault="00C078FA" w:rsidP="00A94BE1">
      <w:r>
        <w:continuationSeparator/>
      </w:r>
    </w:p>
  </w:footnote>
  <w:footnote w:id="1">
    <w:p w14:paraId="49B5B196" w14:textId="77777777" w:rsidR="00A94BE1" w:rsidRPr="00EB5E20" w:rsidRDefault="00A94BE1" w:rsidP="00A94BE1">
      <w:pPr>
        <w:pStyle w:val="FootnoteText"/>
        <w:rPr>
          <w:lang w:val="et-EE"/>
        </w:rPr>
      </w:pPr>
      <w:r>
        <w:rPr>
          <w:rStyle w:val="FootnoteReference"/>
        </w:rPr>
        <w:footnoteRef/>
      </w:r>
      <w:r>
        <w:t xml:space="preserve"> </w:t>
      </w:r>
      <w:r>
        <w:rPr>
          <w:lang w:val="et-EE"/>
        </w:rPr>
        <w:t>M. A. Simovart ja M. Parind „Riigihangete seadus. Kommenteeritud väljaanne“. Kommentaarid §-le 193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50A28"/>
    <w:multiLevelType w:val="hybridMultilevel"/>
    <w:tmpl w:val="F162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E5249"/>
    <w:multiLevelType w:val="multilevel"/>
    <w:tmpl w:val="15A854E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4368997">
    <w:abstractNumId w:val="1"/>
  </w:num>
  <w:num w:numId="2" w16cid:durableId="127016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E1"/>
    <w:rsid w:val="00185B54"/>
    <w:rsid w:val="002F7013"/>
    <w:rsid w:val="00384CE8"/>
    <w:rsid w:val="0039220C"/>
    <w:rsid w:val="003B729D"/>
    <w:rsid w:val="003F7FAA"/>
    <w:rsid w:val="004608BF"/>
    <w:rsid w:val="004B625A"/>
    <w:rsid w:val="007B5890"/>
    <w:rsid w:val="00821881"/>
    <w:rsid w:val="008B3E80"/>
    <w:rsid w:val="008C43DC"/>
    <w:rsid w:val="008D2112"/>
    <w:rsid w:val="00A85F89"/>
    <w:rsid w:val="00A94BE1"/>
    <w:rsid w:val="00B87527"/>
    <w:rsid w:val="00C078FA"/>
    <w:rsid w:val="00CA440B"/>
    <w:rsid w:val="00D633B0"/>
    <w:rsid w:val="00EC0ACF"/>
    <w:rsid w:val="00ED2A83"/>
    <w:rsid w:val="00E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293"/>
  <w15:chartTrackingRefBased/>
  <w15:docId w15:val="{CD890041-B0F2-E14F-B8D7-68C924B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E1"/>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 level"/>
    <w:basedOn w:val="Normal"/>
    <w:uiPriority w:val="34"/>
    <w:qFormat/>
    <w:rsid w:val="00A94BE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styleId="FootnoteText">
    <w:name w:val="footnote text"/>
    <w:basedOn w:val="Normal"/>
    <w:link w:val="FootnoteTextChar"/>
    <w:uiPriority w:val="99"/>
    <w:semiHidden/>
    <w:unhideWhenUsed/>
    <w:rsid w:val="00A94BE1"/>
    <w:rPr>
      <w:sz w:val="20"/>
      <w:szCs w:val="20"/>
    </w:rPr>
  </w:style>
  <w:style w:type="character" w:customStyle="1" w:styleId="FootnoteTextChar">
    <w:name w:val="Footnote Text Char"/>
    <w:basedOn w:val="DefaultParagraphFont"/>
    <w:link w:val="FootnoteText"/>
    <w:uiPriority w:val="99"/>
    <w:semiHidden/>
    <w:rsid w:val="00A94BE1"/>
    <w:rPr>
      <w:rFonts w:ascii="Times New Roman" w:eastAsia="Arial Unicode MS" w:hAnsi="Times New Roman" w:cs="Times New Roman"/>
      <w:kern w:val="0"/>
      <w:sz w:val="20"/>
      <w:szCs w:val="20"/>
      <w:bdr w:val="nil"/>
      <w:lang w:val="en-US"/>
      <w14:ligatures w14:val="none"/>
    </w:rPr>
  </w:style>
  <w:style w:type="character" w:styleId="FootnoteReference">
    <w:name w:val="footnote reference"/>
    <w:basedOn w:val="DefaultParagraphFont"/>
    <w:uiPriority w:val="99"/>
    <w:semiHidden/>
    <w:unhideWhenUsed/>
    <w:rsid w:val="00A94BE1"/>
    <w:rPr>
      <w:vertAlign w:val="superscript"/>
    </w:rPr>
  </w:style>
  <w:style w:type="character" w:styleId="Hyperlink">
    <w:name w:val="Hyperlink"/>
    <w:basedOn w:val="DefaultParagraphFont"/>
    <w:uiPriority w:val="99"/>
    <w:unhideWhenUsed/>
    <w:rsid w:val="00D633B0"/>
    <w:rPr>
      <w:color w:val="0563C1" w:themeColor="hyperlink"/>
      <w:u w:val="single"/>
    </w:rPr>
  </w:style>
  <w:style w:type="character" w:styleId="UnresolvedMention">
    <w:name w:val="Unresolved Mention"/>
    <w:basedOn w:val="DefaultParagraphFont"/>
    <w:uiPriority w:val="99"/>
    <w:semiHidden/>
    <w:unhideWhenUsed/>
    <w:rsid w:val="00D63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igihanked.riik.ee/rhr-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Aava</dc:creator>
  <cp:keywords/>
  <dc:description/>
  <cp:lastModifiedBy>Lauri Valk</cp:lastModifiedBy>
  <cp:revision>3</cp:revision>
  <dcterms:created xsi:type="dcterms:W3CDTF">2025-03-03T10:06:00Z</dcterms:created>
  <dcterms:modified xsi:type="dcterms:W3CDTF">2025-03-03T10:24:00Z</dcterms:modified>
</cp:coreProperties>
</file>